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CE" w:rsidRPr="00261FEE" w:rsidRDefault="00A20FA0" w:rsidP="00FF0205">
      <w:pPr>
        <w:jc w:val="center"/>
        <w:rPr>
          <w:rFonts w:asciiTheme="minorHAnsi" w:hAnsiTheme="minorHAnsi" w:cstheme="minorHAnsi"/>
          <w:b/>
          <w:sz w:val="20"/>
          <w:u w:val="single"/>
        </w:rPr>
      </w:pPr>
      <w:bookmarkStart w:id="0" w:name="_GoBack"/>
      <w:bookmarkEnd w:id="0"/>
      <w:r w:rsidRPr="00261FEE">
        <w:rPr>
          <w:rFonts w:asciiTheme="minorHAnsi" w:hAnsiTheme="minorHAnsi" w:cstheme="minorHAnsi"/>
          <w:b/>
          <w:sz w:val="20"/>
          <w:u w:val="single"/>
        </w:rPr>
        <w:t xml:space="preserve">POLIZZA </w:t>
      </w:r>
      <w:r w:rsidR="00FA732F" w:rsidRPr="00261FEE">
        <w:rPr>
          <w:rFonts w:asciiTheme="minorHAnsi" w:hAnsiTheme="minorHAnsi" w:cstheme="minorHAnsi"/>
          <w:b/>
          <w:sz w:val="20"/>
          <w:u w:val="single"/>
        </w:rPr>
        <w:t>DI</w:t>
      </w:r>
      <w:r w:rsidRPr="00261FEE">
        <w:rPr>
          <w:rFonts w:asciiTheme="minorHAnsi" w:hAnsiTheme="minorHAnsi" w:cstheme="minorHAnsi"/>
          <w:b/>
          <w:sz w:val="20"/>
          <w:u w:val="single"/>
        </w:rPr>
        <w:t xml:space="preserve"> ASSICURAZIONE </w:t>
      </w:r>
      <w:r w:rsidR="00181CA1" w:rsidRPr="00261FEE">
        <w:rPr>
          <w:rFonts w:asciiTheme="minorHAnsi" w:hAnsiTheme="minorHAnsi" w:cstheme="minorHAnsi"/>
          <w:b/>
          <w:sz w:val="20"/>
          <w:u w:val="single"/>
        </w:rPr>
        <w:t>PER LA TUTELA LEGALE</w:t>
      </w:r>
    </w:p>
    <w:p w:rsidR="00A20FA0" w:rsidRPr="00261FEE" w:rsidRDefault="00A20FA0">
      <w:pPr>
        <w:rPr>
          <w:rFonts w:asciiTheme="minorHAnsi" w:hAnsiTheme="minorHAnsi" w:cstheme="minorHAnsi"/>
          <w:sz w:val="20"/>
        </w:rPr>
      </w:pPr>
      <w:r w:rsidRPr="00261FEE">
        <w:rPr>
          <w:rFonts w:asciiTheme="minorHAnsi" w:hAnsiTheme="minorHAnsi" w:cstheme="minorHAnsi"/>
          <w:b/>
          <w:sz w:val="20"/>
        </w:rPr>
        <w:t>Polizza</w:t>
      </w:r>
      <w:r w:rsidRPr="00261FEE">
        <w:rPr>
          <w:rFonts w:asciiTheme="minorHAnsi" w:hAnsiTheme="minorHAnsi" w:cstheme="minorHAnsi"/>
          <w:sz w:val="20"/>
        </w:rPr>
        <w:t xml:space="preserve"> n.:  </w:t>
      </w:r>
      <w:r w:rsidR="00C82BE9">
        <w:rPr>
          <w:rFonts w:asciiTheme="minorHAnsi" w:hAnsiTheme="minorHAnsi" w:cstheme="minorHAnsi"/>
          <w:sz w:val="20"/>
        </w:rPr>
        <w:t>ITETL16O0002</w:t>
      </w:r>
    </w:p>
    <w:p w:rsidR="00A20FA0" w:rsidRPr="00261FEE" w:rsidRDefault="00A20FA0">
      <w:pPr>
        <w:rPr>
          <w:rFonts w:asciiTheme="minorHAnsi" w:hAnsiTheme="minorHAnsi" w:cstheme="minorHAnsi"/>
          <w:sz w:val="20"/>
        </w:rPr>
      </w:pPr>
      <w:r w:rsidRPr="00261FEE">
        <w:rPr>
          <w:rFonts w:asciiTheme="minorHAnsi" w:hAnsiTheme="minorHAnsi" w:cstheme="minorHAnsi"/>
          <w:b/>
          <w:sz w:val="20"/>
        </w:rPr>
        <w:t>Compagnia</w:t>
      </w:r>
      <w:r w:rsidR="00C532BF" w:rsidRPr="00261FEE">
        <w:rPr>
          <w:rFonts w:asciiTheme="minorHAnsi" w:hAnsiTheme="minorHAnsi" w:cstheme="minorHAnsi"/>
          <w:sz w:val="20"/>
        </w:rPr>
        <w:t xml:space="preserve">:  </w:t>
      </w:r>
      <w:r w:rsidR="0081140F" w:rsidRPr="00261FEE">
        <w:rPr>
          <w:rFonts w:asciiTheme="minorHAnsi" w:hAnsiTheme="minorHAnsi" w:cstheme="minorHAnsi"/>
          <w:sz w:val="20"/>
        </w:rPr>
        <w:t>AM TRUST Europe Limited</w:t>
      </w:r>
    </w:p>
    <w:p w:rsidR="00A20FA0" w:rsidRPr="00261FEE" w:rsidRDefault="00A20FA0">
      <w:pPr>
        <w:rPr>
          <w:rFonts w:asciiTheme="minorHAnsi" w:hAnsiTheme="minorHAnsi" w:cstheme="minorHAnsi"/>
          <w:sz w:val="20"/>
        </w:rPr>
      </w:pPr>
      <w:r w:rsidRPr="00261FEE">
        <w:rPr>
          <w:rFonts w:asciiTheme="minorHAnsi" w:hAnsiTheme="minorHAnsi" w:cstheme="minorHAnsi"/>
          <w:sz w:val="20"/>
        </w:rPr>
        <w:t xml:space="preserve">Categorie e/o persone </w:t>
      </w:r>
      <w:r w:rsidRPr="00E71475">
        <w:rPr>
          <w:rFonts w:asciiTheme="minorHAnsi" w:hAnsiTheme="minorHAnsi" w:cstheme="minorHAnsi"/>
          <w:sz w:val="20"/>
        </w:rPr>
        <w:t>assicurate</w:t>
      </w:r>
      <w:r w:rsidR="0081140F" w:rsidRPr="00E71475">
        <w:rPr>
          <w:rFonts w:asciiTheme="minorHAnsi" w:hAnsiTheme="minorHAnsi" w:cstheme="minorHAnsi"/>
          <w:sz w:val="20"/>
        </w:rPr>
        <w:t xml:space="preserve">: </w:t>
      </w:r>
      <w:r w:rsidR="00E71475" w:rsidRPr="00E71475">
        <w:rPr>
          <w:rFonts w:asciiTheme="minorHAnsi" w:hAnsiTheme="minorHAnsi" w:cstheme="minorHAnsi"/>
          <w:color w:val="000000" w:themeColor="text1"/>
          <w:sz w:val="18"/>
          <w:szCs w:val="18"/>
        </w:rPr>
        <w:t>Dirigenti Scolastici</w:t>
      </w:r>
      <w:r w:rsidR="00E71475" w:rsidRPr="00E71475">
        <w:rPr>
          <w:rFonts w:asciiTheme="minorHAnsi" w:hAnsiTheme="minorHAnsi" w:cstheme="minorHAnsi"/>
          <w:sz w:val="20"/>
        </w:rPr>
        <w:t xml:space="preserve"> </w:t>
      </w:r>
      <w:r w:rsidR="00C619B3" w:rsidRPr="00E71475">
        <w:rPr>
          <w:rFonts w:asciiTheme="minorHAnsi" w:hAnsiTheme="minorHAnsi" w:cstheme="minorHAnsi"/>
          <w:sz w:val="20"/>
        </w:rPr>
        <w:t>di ruolo</w:t>
      </w:r>
      <w:r w:rsidR="00C619B3" w:rsidRPr="00261FEE">
        <w:rPr>
          <w:rFonts w:asciiTheme="minorHAnsi" w:hAnsiTheme="minorHAnsi" w:cstheme="minorHAnsi"/>
          <w:sz w:val="20"/>
        </w:rPr>
        <w:t xml:space="preserve"> e non, titolari o reggenti ISCRITTI CISL SCUOLA</w:t>
      </w:r>
      <w:r w:rsidR="007B1D69" w:rsidRPr="00261FEE">
        <w:rPr>
          <w:rFonts w:asciiTheme="minorHAnsi" w:hAnsiTheme="minorHAnsi" w:cstheme="minorHAnsi"/>
          <w:sz w:val="20"/>
        </w:rPr>
        <w:t xml:space="preserve"> </w:t>
      </w:r>
    </w:p>
    <w:p w:rsidR="005861B2" w:rsidRPr="00261FEE" w:rsidRDefault="0081140F">
      <w:pPr>
        <w:rPr>
          <w:rFonts w:asciiTheme="minorHAnsi" w:hAnsiTheme="minorHAnsi" w:cstheme="minorHAnsi"/>
          <w:sz w:val="20"/>
        </w:rPr>
      </w:pPr>
      <w:r w:rsidRPr="00261FEE">
        <w:rPr>
          <w:rFonts w:asciiTheme="minorHAnsi" w:hAnsiTheme="minorHAnsi" w:cstheme="minorHAnsi"/>
          <w:b/>
          <w:sz w:val="20"/>
        </w:rPr>
        <w:t>Oggetto dell’assicurazione:</w:t>
      </w:r>
    </w:p>
    <w:p w:rsidR="00C532BF" w:rsidRPr="00261FEE" w:rsidRDefault="00C532BF" w:rsidP="0081140F">
      <w:pPr>
        <w:jc w:val="both"/>
        <w:rPr>
          <w:rFonts w:asciiTheme="minorHAnsi" w:hAnsiTheme="minorHAnsi" w:cstheme="minorHAnsi"/>
          <w:color w:val="000000"/>
          <w:sz w:val="20"/>
        </w:rPr>
      </w:pPr>
      <w:r w:rsidRPr="00261FEE">
        <w:rPr>
          <w:rFonts w:asciiTheme="minorHAnsi" w:hAnsiTheme="minorHAnsi" w:cstheme="minorHAnsi"/>
          <w:color w:val="000000"/>
          <w:sz w:val="20"/>
        </w:rPr>
        <w:t>la garanzia riguarda la tutela dei diritti dell’Assicurato qualora:</w:t>
      </w:r>
    </w:p>
    <w:p w:rsidR="00C532BF" w:rsidRPr="00261FEE" w:rsidRDefault="00C532BF" w:rsidP="00C532BF">
      <w:pPr>
        <w:pStyle w:val="Paragrafoelenco"/>
        <w:numPr>
          <w:ilvl w:val="0"/>
          <w:numId w:val="5"/>
        </w:numPr>
        <w:jc w:val="both"/>
        <w:rPr>
          <w:rFonts w:asciiTheme="minorHAnsi" w:hAnsiTheme="minorHAnsi" w:cstheme="minorHAnsi"/>
          <w:color w:val="000000"/>
          <w:sz w:val="20"/>
        </w:rPr>
      </w:pPr>
      <w:r w:rsidRPr="00261FEE">
        <w:rPr>
          <w:rFonts w:asciiTheme="minorHAnsi" w:hAnsiTheme="minorHAnsi" w:cstheme="minorHAnsi"/>
          <w:color w:val="000000"/>
          <w:sz w:val="20"/>
        </w:rPr>
        <w:t>sia sottoposto a procedimento penale per delitto colposo o per contravvenzione</w:t>
      </w:r>
    </w:p>
    <w:p w:rsidR="00C532BF" w:rsidRPr="00261FEE" w:rsidRDefault="00C532BF" w:rsidP="00C532BF">
      <w:pPr>
        <w:pStyle w:val="Paragrafoelenco"/>
        <w:numPr>
          <w:ilvl w:val="0"/>
          <w:numId w:val="5"/>
        </w:numPr>
        <w:jc w:val="both"/>
        <w:rPr>
          <w:rFonts w:asciiTheme="minorHAnsi" w:hAnsiTheme="minorHAnsi" w:cstheme="minorHAnsi"/>
          <w:color w:val="000000"/>
          <w:sz w:val="20"/>
        </w:rPr>
      </w:pPr>
      <w:r w:rsidRPr="00261FEE">
        <w:rPr>
          <w:rFonts w:asciiTheme="minorHAnsi" w:hAnsiTheme="minorHAnsi" w:cstheme="minorHAnsi"/>
          <w:color w:val="000000"/>
          <w:sz w:val="20"/>
        </w:rPr>
        <w:t>sia sottoposto a procedimento penale per delitto doloso, purché le persone assicurate vengano prosciolte o assolte con decisione passata in giudicato</w:t>
      </w:r>
    </w:p>
    <w:p w:rsidR="00C532BF" w:rsidRPr="00261FEE" w:rsidRDefault="00C532BF" w:rsidP="00C532BF">
      <w:pPr>
        <w:pStyle w:val="Paragrafoelenco"/>
        <w:numPr>
          <w:ilvl w:val="0"/>
          <w:numId w:val="5"/>
        </w:numPr>
        <w:jc w:val="both"/>
        <w:rPr>
          <w:rFonts w:asciiTheme="minorHAnsi" w:hAnsiTheme="minorHAnsi" w:cstheme="minorHAnsi"/>
          <w:color w:val="000000"/>
          <w:sz w:val="20"/>
        </w:rPr>
      </w:pPr>
      <w:r w:rsidRPr="00261FEE">
        <w:rPr>
          <w:rFonts w:asciiTheme="minorHAnsi" w:hAnsiTheme="minorHAnsi" w:cstheme="minorHAnsi"/>
          <w:color w:val="000000"/>
          <w:sz w:val="20"/>
        </w:rPr>
        <w:t>debba presentare opposizione avanti al Giudice competente avverso l’Ordinanza - Ingiunzione di pagamento di una somma di denaro quale sanzione amministrativa.</w:t>
      </w:r>
    </w:p>
    <w:p w:rsidR="00C532BF" w:rsidRPr="00261FEE" w:rsidRDefault="00C532BF" w:rsidP="00C532BF">
      <w:pPr>
        <w:pStyle w:val="Paragrafoelenco"/>
        <w:numPr>
          <w:ilvl w:val="0"/>
          <w:numId w:val="5"/>
        </w:numPr>
        <w:autoSpaceDE w:val="0"/>
        <w:autoSpaceDN w:val="0"/>
        <w:adjustRightInd w:val="0"/>
        <w:jc w:val="both"/>
        <w:rPr>
          <w:rFonts w:asciiTheme="minorHAnsi" w:hAnsiTheme="minorHAnsi" w:cstheme="minorHAnsi"/>
          <w:bCs/>
          <w:color w:val="000000"/>
          <w:sz w:val="20"/>
        </w:rPr>
      </w:pPr>
      <w:r w:rsidRPr="00261FEE">
        <w:rPr>
          <w:rFonts w:asciiTheme="minorHAnsi" w:hAnsiTheme="minorHAnsi" w:cstheme="minorHAnsi"/>
          <w:bCs/>
          <w:color w:val="000000"/>
          <w:sz w:val="20"/>
        </w:rPr>
        <w:t>debba sostenere controversie per resistere alle pretese di risarcimento di natur</w:t>
      </w:r>
      <w:r w:rsidR="00261FEE">
        <w:rPr>
          <w:rFonts w:asciiTheme="minorHAnsi" w:hAnsiTheme="minorHAnsi" w:cstheme="minorHAnsi"/>
          <w:bCs/>
          <w:color w:val="000000"/>
          <w:sz w:val="20"/>
        </w:rPr>
        <w:t>a extracontrattuale di terzi;</w:t>
      </w:r>
    </w:p>
    <w:p w:rsidR="00C532BF" w:rsidRPr="00261FEE" w:rsidRDefault="00C532BF" w:rsidP="00C532BF">
      <w:pPr>
        <w:pStyle w:val="Paragrafoelenco"/>
        <w:numPr>
          <w:ilvl w:val="0"/>
          <w:numId w:val="5"/>
        </w:numPr>
        <w:autoSpaceDE w:val="0"/>
        <w:autoSpaceDN w:val="0"/>
        <w:adjustRightInd w:val="0"/>
        <w:jc w:val="both"/>
        <w:rPr>
          <w:rFonts w:asciiTheme="minorHAnsi" w:hAnsiTheme="minorHAnsi" w:cstheme="minorHAnsi"/>
          <w:color w:val="000000"/>
          <w:sz w:val="20"/>
        </w:rPr>
      </w:pPr>
      <w:r w:rsidRPr="00261FEE">
        <w:rPr>
          <w:rFonts w:asciiTheme="minorHAnsi" w:hAnsiTheme="minorHAnsi" w:cstheme="minorHAnsi"/>
          <w:color w:val="000000"/>
          <w:sz w:val="20"/>
        </w:rPr>
        <w:t xml:space="preserve">debba sostenere controversie per procedimenti di rivalsa da parte della Pubblica Amministrazione; </w:t>
      </w:r>
    </w:p>
    <w:p w:rsidR="00C532BF" w:rsidRPr="00261FEE" w:rsidRDefault="00C532BF" w:rsidP="00C532BF">
      <w:pPr>
        <w:pStyle w:val="Paragrafoelenco"/>
        <w:numPr>
          <w:ilvl w:val="0"/>
          <w:numId w:val="5"/>
        </w:numPr>
        <w:autoSpaceDE w:val="0"/>
        <w:autoSpaceDN w:val="0"/>
        <w:adjustRightInd w:val="0"/>
        <w:jc w:val="both"/>
        <w:rPr>
          <w:rFonts w:asciiTheme="minorHAnsi" w:hAnsiTheme="minorHAnsi" w:cstheme="minorHAnsi"/>
          <w:color w:val="000000"/>
          <w:sz w:val="20"/>
        </w:rPr>
      </w:pPr>
      <w:r w:rsidRPr="00261FEE">
        <w:rPr>
          <w:rFonts w:asciiTheme="minorHAnsi" w:hAnsiTheme="minorHAnsi" w:cstheme="minorHAnsi"/>
          <w:color w:val="000000"/>
          <w:sz w:val="20"/>
        </w:rPr>
        <w:t xml:space="preserve">debba sostenere la difesa per controversie avanti la Corte dei Conti con il limite di € 5.000,00 per vertenza; </w:t>
      </w:r>
    </w:p>
    <w:p w:rsidR="00C532BF" w:rsidRPr="00261FEE" w:rsidRDefault="00C532BF" w:rsidP="00C532BF">
      <w:pPr>
        <w:pStyle w:val="Paragrafoelenco"/>
        <w:numPr>
          <w:ilvl w:val="0"/>
          <w:numId w:val="5"/>
        </w:numPr>
        <w:autoSpaceDE w:val="0"/>
        <w:autoSpaceDN w:val="0"/>
        <w:adjustRightInd w:val="0"/>
        <w:jc w:val="both"/>
        <w:rPr>
          <w:rFonts w:asciiTheme="minorHAnsi" w:hAnsiTheme="minorHAnsi" w:cstheme="minorHAnsi"/>
          <w:color w:val="000000"/>
          <w:sz w:val="20"/>
        </w:rPr>
      </w:pPr>
      <w:r w:rsidRPr="00261FEE">
        <w:rPr>
          <w:rFonts w:asciiTheme="minorHAnsi" w:hAnsiTheme="minorHAnsi" w:cstheme="minorHAnsi"/>
          <w:color w:val="000000"/>
          <w:sz w:val="20"/>
        </w:rPr>
        <w:t xml:space="preserve">debba sostenere controversie di diritto di lavoro per la fase giudiziale con esclusione di quelle avente carattere sindacale. </w:t>
      </w:r>
    </w:p>
    <w:p w:rsidR="00C532BF" w:rsidRPr="00261FEE" w:rsidRDefault="00261FEE" w:rsidP="0081140F">
      <w:pPr>
        <w:jc w:val="both"/>
        <w:rPr>
          <w:rFonts w:asciiTheme="minorHAnsi" w:hAnsiTheme="minorHAnsi" w:cstheme="minorHAnsi"/>
          <w:color w:val="000000"/>
          <w:sz w:val="20"/>
        </w:rPr>
      </w:pPr>
      <w:r w:rsidRPr="00261FEE">
        <w:rPr>
          <w:rFonts w:asciiTheme="minorHAnsi" w:hAnsiTheme="minorHAnsi" w:cstheme="minorHAnsi"/>
          <w:color w:val="000000"/>
          <w:sz w:val="20"/>
        </w:rPr>
        <w:t>la garanzia include inoltre la tutela dei diritti dell’Assicurato in conseguenza di eventi connessi alla circolazione stradale, sempreché in occasione dell’espletamento delle funzioni professionali assegnate</w:t>
      </w:r>
    </w:p>
    <w:p w:rsidR="0081140F" w:rsidRPr="00261FEE" w:rsidRDefault="0081140F" w:rsidP="0081140F">
      <w:pPr>
        <w:jc w:val="both"/>
        <w:rPr>
          <w:rFonts w:asciiTheme="minorHAnsi" w:hAnsiTheme="minorHAnsi" w:cstheme="minorHAnsi"/>
          <w:b/>
          <w:sz w:val="20"/>
        </w:rPr>
      </w:pPr>
      <w:r w:rsidRPr="00261FEE">
        <w:rPr>
          <w:rFonts w:asciiTheme="minorHAnsi" w:hAnsiTheme="minorHAnsi" w:cstheme="minorHAnsi"/>
          <w:b/>
          <w:sz w:val="20"/>
        </w:rPr>
        <w:t>Spese coperte</w:t>
      </w:r>
    </w:p>
    <w:p w:rsidR="00C532BF" w:rsidRPr="00261FEE" w:rsidRDefault="00C532BF" w:rsidP="00C532BF">
      <w:pPr>
        <w:autoSpaceDE w:val="0"/>
        <w:autoSpaceDN w:val="0"/>
        <w:adjustRightInd w:val="0"/>
        <w:jc w:val="both"/>
        <w:rPr>
          <w:rFonts w:asciiTheme="minorHAnsi" w:hAnsiTheme="minorHAnsi" w:cstheme="minorHAnsi"/>
          <w:sz w:val="20"/>
        </w:rPr>
      </w:pPr>
      <w:r w:rsidRPr="00261FEE">
        <w:rPr>
          <w:rFonts w:asciiTheme="minorHAnsi" w:hAnsiTheme="minorHAnsi" w:cstheme="minorHAnsi"/>
          <w:sz w:val="20"/>
        </w:rPr>
        <w:t>La Società, alle condizioni della presente polizza e nei limiti del massimale convenuto, rimborsa agli assicurati, nei casi di giudizi per responsabilità civile, penale ed amministrativa, promossi nei loro confronti in conseguenza di atti connessi con l'espletamento del servizio o con l'assolvimento degli obblighi istituzionali e conclusi con sentenza o provvedimento che escluda il dolo, le spese legali rimaste a loro carico; per i dipendenti pubblici tali spese sono quelle non riconosciute dall’Ente di appartenenza in base all’art 67 del DPR 13/05/1987 n° 268, ovvero quelle non ritenute congrue dall'Avvocatura dello Stato ai sensi dell’Art 18 del D.L. 25/3/1997 n. 67.</w:t>
      </w:r>
    </w:p>
    <w:p w:rsidR="00875C5B" w:rsidRPr="00261FEE" w:rsidRDefault="00C532BF" w:rsidP="00875C5B">
      <w:pPr>
        <w:jc w:val="both"/>
        <w:rPr>
          <w:rFonts w:asciiTheme="minorHAnsi" w:hAnsiTheme="minorHAnsi" w:cstheme="minorHAnsi"/>
          <w:sz w:val="20"/>
        </w:rPr>
      </w:pPr>
      <w:r w:rsidRPr="00261FEE">
        <w:rPr>
          <w:rFonts w:asciiTheme="minorHAnsi" w:hAnsiTheme="minorHAnsi" w:cstheme="minorHAnsi"/>
          <w:b/>
          <w:sz w:val="20"/>
        </w:rPr>
        <w:t>Massimale copertura</w:t>
      </w:r>
      <w:r w:rsidRPr="00261FEE">
        <w:rPr>
          <w:rFonts w:asciiTheme="minorHAnsi" w:hAnsiTheme="minorHAnsi" w:cstheme="minorHAnsi"/>
          <w:sz w:val="20"/>
        </w:rPr>
        <w:t>:</w:t>
      </w:r>
      <w:r w:rsidR="00BE21CA" w:rsidRPr="00261FEE">
        <w:rPr>
          <w:rFonts w:asciiTheme="minorHAnsi" w:hAnsiTheme="minorHAnsi" w:cstheme="minorHAnsi"/>
          <w:sz w:val="20"/>
        </w:rPr>
        <w:t xml:space="preserve"> </w:t>
      </w:r>
      <w:r w:rsidR="00E71475">
        <w:rPr>
          <w:rFonts w:asciiTheme="minorHAnsi" w:hAnsiTheme="minorHAnsi" w:cstheme="minorHAnsi"/>
          <w:b/>
          <w:sz w:val="20"/>
        </w:rPr>
        <w:t>€ 6</w:t>
      </w:r>
      <w:r w:rsidR="00BE21CA" w:rsidRPr="00261FEE">
        <w:rPr>
          <w:rFonts w:asciiTheme="minorHAnsi" w:hAnsiTheme="minorHAnsi" w:cstheme="minorHAnsi"/>
          <w:b/>
          <w:sz w:val="20"/>
        </w:rPr>
        <w:t>0.000,00</w:t>
      </w:r>
      <w:r w:rsidR="00FA188D" w:rsidRPr="00261FEE">
        <w:rPr>
          <w:rFonts w:asciiTheme="minorHAnsi" w:hAnsiTheme="minorHAnsi" w:cstheme="minorHAnsi"/>
          <w:b/>
          <w:sz w:val="20"/>
        </w:rPr>
        <w:t xml:space="preserve">, </w:t>
      </w:r>
      <w:r w:rsidR="00FA188D" w:rsidRPr="00261FEE">
        <w:rPr>
          <w:rFonts w:asciiTheme="minorHAnsi" w:hAnsiTheme="minorHAnsi" w:cstheme="minorHAnsi"/>
          <w:sz w:val="20"/>
        </w:rPr>
        <w:t>per singola vertenza</w:t>
      </w:r>
    </w:p>
    <w:p w:rsidR="00261FEE" w:rsidRDefault="00C532BF" w:rsidP="00261FEE">
      <w:pPr>
        <w:jc w:val="both"/>
        <w:rPr>
          <w:rFonts w:asciiTheme="minorHAnsi" w:hAnsiTheme="minorHAnsi" w:cstheme="minorHAnsi"/>
          <w:b/>
          <w:sz w:val="20"/>
        </w:rPr>
      </w:pPr>
      <w:r w:rsidRPr="00261FEE">
        <w:rPr>
          <w:rFonts w:asciiTheme="minorHAnsi" w:hAnsiTheme="minorHAnsi" w:cstheme="minorHAnsi"/>
          <w:b/>
          <w:sz w:val="20"/>
        </w:rPr>
        <w:t>Insorgenza del caso assicurativo e retroattività:</w:t>
      </w:r>
    </w:p>
    <w:p w:rsidR="00C532BF" w:rsidRPr="00261FEE" w:rsidRDefault="00C532BF" w:rsidP="00261FEE">
      <w:pPr>
        <w:jc w:val="both"/>
        <w:rPr>
          <w:rFonts w:asciiTheme="minorHAnsi" w:hAnsiTheme="minorHAnsi" w:cstheme="minorHAnsi"/>
          <w:sz w:val="20"/>
        </w:rPr>
      </w:pPr>
      <w:r w:rsidRPr="00261FEE">
        <w:rPr>
          <w:rFonts w:asciiTheme="minorHAnsi" w:hAnsiTheme="minorHAnsi" w:cstheme="minorHAnsi"/>
          <w:sz w:val="20"/>
        </w:rPr>
        <w:t>dalle ore 24 del gior</w:t>
      </w:r>
      <w:r w:rsidR="00261FEE">
        <w:rPr>
          <w:rFonts w:asciiTheme="minorHAnsi" w:hAnsiTheme="minorHAnsi" w:cstheme="minorHAnsi"/>
          <w:sz w:val="20"/>
        </w:rPr>
        <w:t xml:space="preserve">no di inserimento in garanzia per </w:t>
      </w:r>
      <w:r w:rsidRPr="00261FEE">
        <w:rPr>
          <w:rFonts w:asciiTheme="minorHAnsi" w:hAnsiTheme="minorHAnsi" w:cstheme="minorHAnsi"/>
          <w:sz w:val="20"/>
        </w:rPr>
        <w:t>controversia relativa a risarciment</w:t>
      </w:r>
      <w:r w:rsidR="00261FEE">
        <w:rPr>
          <w:rFonts w:asciiTheme="minorHAnsi" w:hAnsiTheme="minorHAnsi" w:cstheme="minorHAnsi"/>
          <w:sz w:val="20"/>
        </w:rPr>
        <w:t xml:space="preserve">o di danni extracontrattuali,  procedimento penale od </w:t>
      </w:r>
      <w:r w:rsidRPr="00261FEE">
        <w:rPr>
          <w:rFonts w:asciiTheme="minorHAnsi" w:hAnsiTheme="minorHAnsi" w:cstheme="minorHAnsi"/>
          <w:sz w:val="20"/>
        </w:rPr>
        <w:t xml:space="preserve">opposizione alle sanzioni amministrative; </w:t>
      </w:r>
    </w:p>
    <w:p w:rsidR="00C532BF" w:rsidRPr="00261FEE" w:rsidRDefault="00C532BF" w:rsidP="00FF0205">
      <w:pPr>
        <w:pStyle w:val="Paragrafoelenco"/>
        <w:numPr>
          <w:ilvl w:val="0"/>
          <w:numId w:val="3"/>
        </w:numPr>
        <w:autoSpaceDE w:val="0"/>
        <w:autoSpaceDN w:val="0"/>
        <w:adjustRightInd w:val="0"/>
        <w:ind w:left="426" w:hanging="284"/>
        <w:jc w:val="both"/>
        <w:rPr>
          <w:rFonts w:asciiTheme="minorHAnsi" w:hAnsiTheme="minorHAnsi" w:cstheme="minorHAnsi"/>
          <w:sz w:val="20"/>
        </w:rPr>
      </w:pPr>
      <w:r w:rsidRPr="00261FEE">
        <w:rPr>
          <w:rFonts w:asciiTheme="minorHAnsi" w:hAnsiTheme="minorHAnsi" w:cstheme="minorHAnsi"/>
          <w:sz w:val="20"/>
        </w:rPr>
        <w:t xml:space="preserve">trascorsi 90 giorni </w:t>
      </w:r>
      <w:r w:rsidR="00261FEE">
        <w:rPr>
          <w:rFonts w:asciiTheme="minorHAnsi" w:hAnsiTheme="minorHAnsi" w:cstheme="minorHAnsi"/>
          <w:sz w:val="20"/>
        </w:rPr>
        <w:t>dall’</w:t>
      </w:r>
      <w:r w:rsidR="00261FEE" w:rsidRPr="00261FEE">
        <w:rPr>
          <w:rFonts w:asciiTheme="minorHAnsi" w:hAnsiTheme="minorHAnsi" w:cstheme="minorHAnsi"/>
          <w:sz w:val="20"/>
        </w:rPr>
        <w:t xml:space="preserve"> </w:t>
      </w:r>
      <w:r w:rsidR="00261FEE">
        <w:rPr>
          <w:rFonts w:asciiTheme="minorHAnsi" w:hAnsiTheme="minorHAnsi" w:cstheme="minorHAnsi"/>
          <w:sz w:val="20"/>
        </w:rPr>
        <w:t>inserimento in garanzia</w:t>
      </w:r>
      <w:r w:rsidRPr="00261FEE">
        <w:rPr>
          <w:rFonts w:asciiTheme="minorHAnsi" w:hAnsiTheme="minorHAnsi" w:cstheme="minorHAnsi"/>
          <w:sz w:val="20"/>
        </w:rPr>
        <w:t xml:space="preserve"> per le controversie di natura contrattuale; </w:t>
      </w:r>
    </w:p>
    <w:p w:rsidR="00C532BF" w:rsidRPr="00261FEE" w:rsidRDefault="00C532BF" w:rsidP="00FF0205">
      <w:pPr>
        <w:pStyle w:val="Paragrafoelenco"/>
        <w:numPr>
          <w:ilvl w:val="0"/>
          <w:numId w:val="3"/>
        </w:numPr>
        <w:autoSpaceDE w:val="0"/>
        <w:autoSpaceDN w:val="0"/>
        <w:adjustRightInd w:val="0"/>
        <w:ind w:left="426" w:hanging="284"/>
        <w:jc w:val="both"/>
        <w:rPr>
          <w:rFonts w:asciiTheme="minorHAnsi" w:hAnsiTheme="minorHAnsi" w:cstheme="minorHAnsi"/>
          <w:sz w:val="20"/>
        </w:rPr>
      </w:pPr>
      <w:r w:rsidRPr="00261FEE">
        <w:rPr>
          <w:rFonts w:asciiTheme="minorHAnsi" w:hAnsiTheme="minorHAnsi" w:cstheme="minorHAnsi"/>
          <w:sz w:val="20"/>
        </w:rPr>
        <w:t xml:space="preserve">la garanzia si estende ai sinistri insorti nel periodo contrattuale, ma manifestatisi e denunciati entro 36 (trentasei) mesi dalla cessazione del contratto. </w:t>
      </w:r>
    </w:p>
    <w:p w:rsidR="00C532BF" w:rsidRPr="00261FEE" w:rsidRDefault="00C532BF" w:rsidP="00FF0205">
      <w:pPr>
        <w:pStyle w:val="Paragrafoelenco"/>
        <w:numPr>
          <w:ilvl w:val="0"/>
          <w:numId w:val="3"/>
        </w:numPr>
        <w:autoSpaceDE w:val="0"/>
        <w:autoSpaceDN w:val="0"/>
        <w:adjustRightInd w:val="0"/>
        <w:ind w:left="426" w:hanging="284"/>
        <w:jc w:val="both"/>
        <w:rPr>
          <w:rFonts w:asciiTheme="minorHAnsi" w:hAnsiTheme="minorHAnsi" w:cstheme="minorHAnsi"/>
          <w:sz w:val="20"/>
        </w:rPr>
      </w:pPr>
      <w:r w:rsidRPr="00261FEE">
        <w:rPr>
          <w:rFonts w:asciiTheme="minorHAnsi" w:hAnsiTheme="minorHAnsi" w:cstheme="minorHAnsi"/>
          <w:sz w:val="20"/>
        </w:rPr>
        <w:t xml:space="preserve">la garanzia si intende operante retroattivamente per fatti posti in essere entro 5 anni antecedenti alla data di effetto del contratto. Qualora nel periodo precedente la data di decorrenza della polizza sia stata operante a favore delle Persone Assicurate un’altra assicurazione di Tutela Legale, la garanzia vale in secondo rischio rispetto alla suddetta assicurazione per i casi in cui quest’ultima preveda la prestazione di garanzia. </w:t>
      </w:r>
    </w:p>
    <w:p w:rsidR="00C532BF" w:rsidRPr="00261FEE" w:rsidRDefault="00C532BF" w:rsidP="006F7CB5">
      <w:pPr>
        <w:rPr>
          <w:rFonts w:asciiTheme="minorHAnsi" w:hAnsiTheme="minorHAnsi" w:cstheme="minorHAnsi"/>
          <w:b/>
          <w:sz w:val="20"/>
        </w:rPr>
      </w:pPr>
      <w:r w:rsidRPr="00261FEE">
        <w:rPr>
          <w:rFonts w:asciiTheme="minorHAnsi" w:hAnsiTheme="minorHAnsi" w:cstheme="minorHAnsi"/>
          <w:b/>
          <w:sz w:val="20"/>
        </w:rPr>
        <w:t>Obblighi dell’assicurato in caso di sinistro:</w:t>
      </w:r>
    </w:p>
    <w:p w:rsidR="00C532BF" w:rsidRPr="00261FEE" w:rsidRDefault="00C532BF" w:rsidP="00C532BF">
      <w:pPr>
        <w:autoSpaceDE w:val="0"/>
        <w:autoSpaceDN w:val="0"/>
        <w:adjustRightInd w:val="0"/>
        <w:rPr>
          <w:rFonts w:asciiTheme="minorHAnsi" w:hAnsiTheme="minorHAnsi" w:cstheme="minorHAnsi"/>
          <w:sz w:val="20"/>
        </w:rPr>
      </w:pPr>
      <w:r w:rsidRPr="00261FEE">
        <w:rPr>
          <w:rFonts w:asciiTheme="minorHAnsi" w:hAnsiTheme="minorHAnsi" w:cstheme="minorHAnsi"/>
          <w:sz w:val="20"/>
        </w:rPr>
        <w:t xml:space="preserve">L'Assicurato deve far denuncia scritta di ciascun Sinistro entro 15 (quindici) giorni da quando ne è venuto a conoscenza. La denuncia di Sinistro va inoltrata Onebroker srl Firenze tramite email alla casella </w:t>
      </w:r>
      <w:hyperlink r:id="rId7" w:history="1">
        <w:r w:rsidRPr="00261FEE">
          <w:rPr>
            <w:rFonts w:asciiTheme="minorHAnsi" w:hAnsiTheme="minorHAnsi" w:cstheme="minorHAnsi"/>
            <w:sz w:val="20"/>
          </w:rPr>
          <w:t>Ufficiosinistri@onebroker.it</w:t>
        </w:r>
      </w:hyperlink>
      <w:r w:rsidRPr="00261FEE">
        <w:rPr>
          <w:rFonts w:asciiTheme="minorHAnsi" w:hAnsiTheme="minorHAnsi" w:cstheme="minorHAnsi"/>
          <w:sz w:val="20"/>
        </w:rPr>
        <w:t xml:space="preserve"> o a mezzo fax al n° 055 5535433</w:t>
      </w:r>
    </w:p>
    <w:p w:rsidR="00C532BF" w:rsidRPr="00261FEE" w:rsidRDefault="00C532BF" w:rsidP="00C532BF">
      <w:pPr>
        <w:autoSpaceDE w:val="0"/>
        <w:autoSpaceDN w:val="0"/>
        <w:adjustRightInd w:val="0"/>
        <w:rPr>
          <w:rFonts w:asciiTheme="minorHAnsi" w:hAnsiTheme="minorHAnsi" w:cstheme="minorHAnsi"/>
          <w:sz w:val="20"/>
        </w:rPr>
      </w:pPr>
      <w:r w:rsidRPr="00261FEE">
        <w:rPr>
          <w:rFonts w:asciiTheme="minorHAnsi" w:hAnsiTheme="minorHAnsi" w:cstheme="minorHAnsi"/>
          <w:sz w:val="20"/>
        </w:rPr>
        <w:lastRenderedPageBreak/>
        <w:t xml:space="preserve">Tale denuncia deve contenere la data e la narrazione del fatto, l'indicazione delle cause e delle conseguenze, il nome e il domicilio dei danneggiati, e ogni altra notizia utile per la Società. </w:t>
      </w:r>
    </w:p>
    <w:p w:rsidR="00C532BF" w:rsidRPr="00261FEE" w:rsidRDefault="00C532BF" w:rsidP="00C532BF">
      <w:pPr>
        <w:autoSpaceDE w:val="0"/>
        <w:autoSpaceDN w:val="0"/>
        <w:adjustRightInd w:val="0"/>
        <w:rPr>
          <w:rFonts w:asciiTheme="minorHAnsi" w:hAnsiTheme="minorHAnsi" w:cstheme="minorHAnsi"/>
          <w:sz w:val="20"/>
        </w:rPr>
      </w:pPr>
      <w:r w:rsidRPr="00261FEE">
        <w:rPr>
          <w:rFonts w:asciiTheme="minorHAnsi" w:hAnsiTheme="minorHAnsi" w:cstheme="minorHAnsi"/>
          <w:sz w:val="20"/>
        </w:rPr>
        <w:t xml:space="preserve">Alla denuncia devono far seguito con urgenza i documenti e gli eventuali atti giudiziari relativi al Sinistro, oltre ad una relazione confidenziale sui fatti. </w:t>
      </w:r>
    </w:p>
    <w:p w:rsidR="00C532BF" w:rsidRPr="0081140F" w:rsidRDefault="00C532BF" w:rsidP="00FF0205">
      <w:pPr>
        <w:jc w:val="both"/>
        <w:rPr>
          <w:rFonts w:asciiTheme="minorHAnsi" w:hAnsiTheme="minorHAnsi" w:cstheme="minorHAnsi"/>
        </w:rPr>
      </w:pPr>
      <w:r w:rsidRPr="00261FEE">
        <w:rPr>
          <w:rFonts w:asciiTheme="minorHAnsi" w:hAnsiTheme="minorHAnsi" w:cstheme="minorHAnsi"/>
          <w:sz w:val="20"/>
        </w:rPr>
        <w:t>Contemporaneamente alla denuncia del caso assicurativo, l'Assicurato deve indicare alla Società un legale - residente in una località facente parte del Circondario del Tribunale ove ha sede l'Ufficio Giudiziario competente a decidere la controversia - al quale affidare la pratica per il seguito giudiziale, ove il tentativo di bonaria definizione non abbia esito positivo.</w:t>
      </w:r>
    </w:p>
    <w:sectPr w:rsidR="00C532BF" w:rsidRPr="0081140F" w:rsidSect="00A20FA0">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F7" w:rsidRDefault="004932F7">
      <w:r>
        <w:separator/>
      </w:r>
    </w:p>
  </w:endnote>
  <w:endnote w:type="continuationSeparator" w:id="0">
    <w:p w:rsidR="004932F7" w:rsidRDefault="0049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F7" w:rsidRDefault="004932F7">
      <w:r>
        <w:separator/>
      </w:r>
    </w:p>
  </w:footnote>
  <w:footnote w:type="continuationSeparator" w:id="0">
    <w:p w:rsidR="004932F7" w:rsidRDefault="00493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E11"/>
    <w:multiLevelType w:val="hybridMultilevel"/>
    <w:tmpl w:val="DD6E8642"/>
    <w:lvl w:ilvl="0" w:tplc="04100001">
      <w:start w:val="1"/>
      <w:numFmt w:val="bullet"/>
      <w:lvlText w:val=""/>
      <w:lvlJc w:val="left"/>
      <w:pPr>
        <w:ind w:left="765" w:hanging="360"/>
      </w:pPr>
      <w:rPr>
        <w:rFonts w:ascii="Symbol" w:hAnsi="Symbol" w:hint="default"/>
      </w:rPr>
    </w:lvl>
    <w:lvl w:ilvl="1" w:tplc="E3CEF198">
      <w:numFmt w:val="bullet"/>
      <w:lvlText w:val=""/>
      <w:lvlJc w:val="left"/>
      <w:pPr>
        <w:ind w:left="1485" w:hanging="360"/>
      </w:pPr>
      <w:rPr>
        <w:rFonts w:ascii="Symbol" w:eastAsiaTheme="minorHAnsi" w:hAnsi="Symbol" w:cs="Symbol"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2DBD78B4"/>
    <w:multiLevelType w:val="hybridMultilevel"/>
    <w:tmpl w:val="CB3C4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93036A"/>
    <w:multiLevelType w:val="hybridMultilevel"/>
    <w:tmpl w:val="B38C80F0"/>
    <w:lvl w:ilvl="0" w:tplc="CA6C287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902790"/>
    <w:multiLevelType w:val="hybridMultilevel"/>
    <w:tmpl w:val="2EEA54EA"/>
    <w:lvl w:ilvl="0" w:tplc="3BFA62D6">
      <w:start w:val="1"/>
      <w:numFmt w:val="low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60235BF1"/>
    <w:multiLevelType w:val="hybridMultilevel"/>
    <w:tmpl w:val="9C6EC94E"/>
    <w:lvl w:ilvl="0" w:tplc="6678A4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A0"/>
    <w:rsid w:val="000028C7"/>
    <w:rsid w:val="000052A7"/>
    <w:rsid w:val="00017CCF"/>
    <w:rsid w:val="00051BDB"/>
    <w:rsid w:val="00062F55"/>
    <w:rsid w:val="00075651"/>
    <w:rsid w:val="0009071F"/>
    <w:rsid w:val="000920CA"/>
    <w:rsid w:val="000B6B95"/>
    <w:rsid w:val="000D1487"/>
    <w:rsid w:val="000E103A"/>
    <w:rsid w:val="001273D0"/>
    <w:rsid w:val="00144650"/>
    <w:rsid w:val="00181CA1"/>
    <w:rsid w:val="00191A79"/>
    <w:rsid w:val="001E1C7F"/>
    <w:rsid w:val="00240DCF"/>
    <w:rsid w:val="00261FEE"/>
    <w:rsid w:val="00284A42"/>
    <w:rsid w:val="002F78BF"/>
    <w:rsid w:val="00317D10"/>
    <w:rsid w:val="0032017E"/>
    <w:rsid w:val="00335EA3"/>
    <w:rsid w:val="00344290"/>
    <w:rsid w:val="003509CA"/>
    <w:rsid w:val="00371069"/>
    <w:rsid w:val="003B3C28"/>
    <w:rsid w:val="004432AA"/>
    <w:rsid w:val="004527BB"/>
    <w:rsid w:val="004531ED"/>
    <w:rsid w:val="0046342F"/>
    <w:rsid w:val="004708D3"/>
    <w:rsid w:val="004932F7"/>
    <w:rsid w:val="004A583D"/>
    <w:rsid w:val="004D5C3D"/>
    <w:rsid w:val="004D5EC4"/>
    <w:rsid w:val="004D7FED"/>
    <w:rsid w:val="004E0F21"/>
    <w:rsid w:val="005112BF"/>
    <w:rsid w:val="00543642"/>
    <w:rsid w:val="0056024F"/>
    <w:rsid w:val="00580502"/>
    <w:rsid w:val="005861B2"/>
    <w:rsid w:val="005D535F"/>
    <w:rsid w:val="005F7284"/>
    <w:rsid w:val="00637F5E"/>
    <w:rsid w:val="00663706"/>
    <w:rsid w:val="00666F14"/>
    <w:rsid w:val="006B497F"/>
    <w:rsid w:val="006E08EA"/>
    <w:rsid w:val="006F6F08"/>
    <w:rsid w:val="006F7CB5"/>
    <w:rsid w:val="00727448"/>
    <w:rsid w:val="0072766C"/>
    <w:rsid w:val="00733C71"/>
    <w:rsid w:val="007B1D69"/>
    <w:rsid w:val="007D1954"/>
    <w:rsid w:val="007D3DA5"/>
    <w:rsid w:val="00801A1B"/>
    <w:rsid w:val="0081140F"/>
    <w:rsid w:val="008243A1"/>
    <w:rsid w:val="00842E19"/>
    <w:rsid w:val="00875C5B"/>
    <w:rsid w:val="008A52A2"/>
    <w:rsid w:val="008B7847"/>
    <w:rsid w:val="00906D00"/>
    <w:rsid w:val="009329FE"/>
    <w:rsid w:val="00937814"/>
    <w:rsid w:val="00956DA1"/>
    <w:rsid w:val="0097726D"/>
    <w:rsid w:val="00993CB3"/>
    <w:rsid w:val="009A707A"/>
    <w:rsid w:val="009E39AE"/>
    <w:rsid w:val="00A0347E"/>
    <w:rsid w:val="00A07E37"/>
    <w:rsid w:val="00A20FA0"/>
    <w:rsid w:val="00A23576"/>
    <w:rsid w:val="00AB5266"/>
    <w:rsid w:val="00AC0567"/>
    <w:rsid w:val="00AE0334"/>
    <w:rsid w:val="00B21274"/>
    <w:rsid w:val="00B24E1D"/>
    <w:rsid w:val="00B359DB"/>
    <w:rsid w:val="00B621B2"/>
    <w:rsid w:val="00BC3CCE"/>
    <w:rsid w:val="00BE21CA"/>
    <w:rsid w:val="00C254FF"/>
    <w:rsid w:val="00C532BF"/>
    <w:rsid w:val="00C578D0"/>
    <w:rsid w:val="00C619B3"/>
    <w:rsid w:val="00C82BE9"/>
    <w:rsid w:val="00C87A7C"/>
    <w:rsid w:val="00C92A9A"/>
    <w:rsid w:val="00C94453"/>
    <w:rsid w:val="00CE7E53"/>
    <w:rsid w:val="00D01793"/>
    <w:rsid w:val="00D60FA1"/>
    <w:rsid w:val="00DC157A"/>
    <w:rsid w:val="00E1429C"/>
    <w:rsid w:val="00E21832"/>
    <w:rsid w:val="00E26440"/>
    <w:rsid w:val="00E71475"/>
    <w:rsid w:val="00E752BC"/>
    <w:rsid w:val="00EA7751"/>
    <w:rsid w:val="00EB22CF"/>
    <w:rsid w:val="00EB7195"/>
    <w:rsid w:val="00EB78EB"/>
    <w:rsid w:val="00F24EF0"/>
    <w:rsid w:val="00F253E3"/>
    <w:rsid w:val="00F26649"/>
    <w:rsid w:val="00F45B77"/>
    <w:rsid w:val="00F52A51"/>
    <w:rsid w:val="00F85400"/>
    <w:rsid w:val="00FA188D"/>
    <w:rsid w:val="00FA4D36"/>
    <w:rsid w:val="00FA732F"/>
    <w:rsid w:val="00FB55F9"/>
    <w:rsid w:val="00FF0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97D2A-0028-4A43-9B47-69E8DCD4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43A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0FA0"/>
    <w:pPr>
      <w:tabs>
        <w:tab w:val="center" w:pos="4819"/>
        <w:tab w:val="right" w:pos="9638"/>
      </w:tabs>
    </w:pPr>
  </w:style>
  <w:style w:type="paragraph" w:styleId="Pidipagina">
    <w:name w:val="footer"/>
    <w:basedOn w:val="Normale"/>
    <w:rsid w:val="00A20FA0"/>
    <w:pPr>
      <w:tabs>
        <w:tab w:val="center" w:pos="4819"/>
        <w:tab w:val="right" w:pos="9638"/>
      </w:tabs>
    </w:pPr>
  </w:style>
  <w:style w:type="table" w:styleId="Grigliatabella">
    <w:name w:val="Table Grid"/>
    <w:basedOn w:val="Tabellanormale"/>
    <w:rsid w:val="004D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7726D"/>
    <w:rPr>
      <w:rFonts w:ascii="Tahoma" w:hAnsi="Tahoma" w:cs="Tahoma"/>
      <w:sz w:val="16"/>
      <w:szCs w:val="16"/>
    </w:rPr>
  </w:style>
  <w:style w:type="paragraph" w:styleId="Paragrafoelenco">
    <w:name w:val="List Paragraph"/>
    <w:basedOn w:val="Normale"/>
    <w:uiPriority w:val="1"/>
    <w:qFormat/>
    <w:rsid w:val="00F52A51"/>
    <w:pPr>
      <w:ind w:left="720"/>
      <w:contextualSpacing/>
    </w:pPr>
  </w:style>
  <w:style w:type="character" w:styleId="Collegamentoipertestuale">
    <w:name w:val="Hyperlink"/>
    <w:basedOn w:val="Carpredefinitoparagrafo"/>
    <w:uiPriority w:val="99"/>
    <w:unhideWhenUsed/>
    <w:rsid w:val="00C53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sinistri@onebrok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POLIZZA di ASSICURAZIONE INFORTUNI per DIRIGENTI SIDACALI, DIPENDENTI e COLLABORATORI della CISL SCUOLA</vt:lpstr>
    </vt:vector>
  </TitlesOfParts>
  <Company>CISL Scuola</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POLIZZA di ASSICURAZIONE INFORTUNI per DIRIGENTI SIDACALI, DIPENDENTI e COLLABORATORI della CISL SCUOLA</dc:title>
  <dc:creator>lbraconi</dc:creator>
  <cp:lastModifiedBy>LOUIS</cp:lastModifiedBy>
  <cp:revision>2</cp:revision>
  <cp:lastPrinted>2011-02-22T11:03:00Z</cp:lastPrinted>
  <dcterms:created xsi:type="dcterms:W3CDTF">2018-02-19T14:33:00Z</dcterms:created>
  <dcterms:modified xsi:type="dcterms:W3CDTF">2018-02-19T14:33:00Z</dcterms:modified>
</cp:coreProperties>
</file>